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54" w:rsidRDefault="00A53054" w:rsidP="00A53054">
      <w:pPr>
        <w:widowControl/>
        <w:suppressAutoHyphens w:val="0"/>
        <w:spacing w:before="100"/>
        <w:jc w:val="right"/>
      </w:pPr>
      <w:r>
        <w:rPr>
          <w:rFonts w:eastAsia="Times New Roman" w:cs="Times New Roman"/>
          <w:b/>
          <w:bCs/>
          <w:lang w:eastAsia="pl-PL"/>
        </w:rPr>
        <w:t>Załącznik nr 3 (część 7)</w:t>
      </w:r>
    </w:p>
    <w:p w:rsidR="00A53054" w:rsidRPr="00FD300D" w:rsidRDefault="00A53054" w:rsidP="00A53054">
      <w:pPr>
        <w:pStyle w:val="Standard"/>
        <w:spacing w:line="100" w:lineRule="atLeast"/>
        <w:rPr>
          <w:rFonts w:eastAsia="Calibri"/>
          <w:sz w:val="22"/>
          <w:szCs w:val="22"/>
        </w:rPr>
      </w:pPr>
      <w:r w:rsidRPr="00FD300D">
        <w:rPr>
          <w:rFonts w:eastAsia="Calibri"/>
          <w:sz w:val="22"/>
          <w:szCs w:val="22"/>
        </w:rPr>
        <w:t>Wypełniony należy złożyć do oferty</w:t>
      </w:r>
    </w:p>
    <w:p w:rsidR="00A53054" w:rsidRDefault="00A53054" w:rsidP="00A53054">
      <w:pPr>
        <w:pStyle w:val="Standard"/>
        <w:spacing w:line="100" w:lineRule="atLeast"/>
        <w:rPr>
          <w:rFonts w:eastAsia="Calibri"/>
          <w:b/>
          <w:color w:val="FF0000"/>
          <w:sz w:val="22"/>
          <w:szCs w:val="22"/>
        </w:rPr>
      </w:pPr>
    </w:p>
    <w:p w:rsidR="00A53054" w:rsidRDefault="00A53054" w:rsidP="00A53054">
      <w:pPr>
        <w:pStyle w:val="Standard"/>
        <w:spacing w:line="100" w:lineRule="atLeast"/>
        <w:rPr>
          <w:rFonts w:eastAsia="Calibri"/>
          <w:b/>
          <w:color w:val="FF0000"/>
          <w:sz w:val="22"/>
          <w:szCs w:val="22"/>
        </w:rPr>
      </w:pPr>
    </w:p>
    <w:p w:rsidR="00A53054" w:rsidRDefault="00A53054" w:rsidP="00A53054">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A53054" w:rsidRDefault="00A53054" w:rsidP="00A53054">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A53054" w:rsidRDefault="00A53054" w:rsidP="00A53054">
      <w:pPr>
        <w:widowControl/>
        <w:suppressAutoHyphens w:val="0"/>
        <w:spacing w:before="100"/>
        <w:jc w:val="right"/>
        <w:rPr>
          <w:rFonts w:eastAsia="Times New Roman" w:cs="Times New Roman"/>
          <w:color w:val="FF0000"/>
          <w:sz w:val="20"/>
          <w:szCs w:val="20"/>
          <w:lang w:eastAsia="pl-PL"/>
        </w:rPr>
      </w:pPr>
    </w:p>
    <w:p w:rsidR="00A53054" w:rsidRDefault="00A53054" w:rsidP="00A53054">
      <w:pPr>
        <w:widowControl/>
        <w:suppressAutoHyphens w:val="0"/>
        <w:spacing w:before="100"/>
        <w:jc w:val="right"/>
        <w:rPr>
          <w:rFonts w:eastAsia="Times New Roman" w:cs="Times New Roman"/>
          <w:color w:val="FF0000"/>
          <w:sz w:val="20"/>
          <w:szCs w:val="20"/>
          <w:lang w:eastAsia="pl-PL"/>
        </w:rPr>
      </w:pPr>
    </w:p>
    <w:p w:rsidR="00A53054" w:rsidRDefault="00A53054" w:rsidP="00A53054">
      <w:pPr>
        <w:pStyle w:val="Standard"/>
        <w:jc w:val="both"/>
        <w:rPr>
          <w:rFonts w:ascii="Cambria" w:hAnsi="Cambria"/>
          <w:b/>
          <w:sz w:val="22"/>
          <w:szCs w:val="22"/>
        </w:rPr>
      </w:pPr>
      <w:r>
        <w:rPr>
          <w:b/>
          <w:sz w:val="22"/>
          <w:szCs w:val="22"/>
        </w:rPr>
        <w:t>OPIS PRZEDMIOTU ZAMÓWIENIA ZESTAWIENIE  PARAMETRÓW TECHNICZNYCH</w:t>
      </w:r>
    </w:p>
    <w:p w:rsidR="00A53054" w:rsidRDefault="00A53054" w:rsidP="00A53054">
      <w:pPr>
        <w:pStyle w:val="Standard"/>
      </w:pPr>
    </w:p>
    <w:p w:rsidR="00A53054" w:rsidRPr="002E6A1F" w:rsidRDefault="00A53054" w:rsidP="00A53054">
      <w:pPr>
        <w:pStyle w:val="Standard"/>
        <w:rPr>
          <w:rFonts w:eastAsia="Times New Roman"/>
          <w:b/>
          <w:sz w:val="18"/>
          <w:szCs w:val="18"/>
        </w:rPr>
      </w:pPr>
      <w:r w:rsidRPr="00FD300D">
        <w:rPr>
          <w:rFonts w:eastAsia="Times New Roman"/>
          <w:b/>
          <w:bCs/>
          <w:color w:val="000000"/>
        </w:rPr>
        <w:t>Część nr</w:t>
      </w:r>
      <w:r>
        <w:rPr>
          <w:rFonts w:eastAsia="Times New Roman"/>
          <w:b/>
          <w:bCs/>
          <w:color w:val="000000"/>
        </w:rPr>
        <w:t xml:space="preserve"> 7</w:t>
      </w:r>
      <w:r w:rsidRPr="00FD300D">
        <w:rPr>
          <w:rFonts w:eastAsia="Times New Roman"/>
          <w:b/>
          <w:bCs/>
          <w:color w:val="000000"/>
        </w:rPr>
        <w:t xml:space="preserve"> </w:t>
      </w:r>
      <w:r>
        <w:rPr>
          <w:b/>
        </w:rPr>
        <w:t>Kardiomonitory</w:t>
      </w:r>
      <w:r w:rsidRPr="002E6A1F">
        <w:rPr>
          <w:b/>
        </w:rPr>
        <w:t xml:space="preserve"> dla Oddziału Chirurgii Urazowo-Ortopedycznej</w:t>
      </w:r>
    </w:p>
    <w:p w:rsidR="00A53054" w:rsidRDefault="00A53054" w:rsidP="00A53054">
      <w:pPr>
        <w:pStyle w:val="Standard"/>
      </w:pPr>
    </w:p>
    <w:p w:rsidR="00A53054" w:rsidRPr="003317F3" w:rsidRDefault="00A53054" w:rsidP="00A53054">
      <w:pPr>
        <w:pStyle w:val="Standard"/>
        <w:jc w:val="both"/>
        <w:rPr>
          <w:b/>
        </w:rPr>
      </w:pPr>
    </w:p>
    <w:p w:rsidR="00A53054" w:rsidRDefault="00A53054" w:rsidP="00A53054">
      <w:pPr>
        <w:pStyle w:val="Standard"/>
        <w:widowControl w:val="0"/>
      </w:pPr>
      <w:r>
        <w:rPr>
          <w:rFonts w:cs="Arial"/>
          <w:b/>
          <w:bCs/>
          <w:lang w:eastAsia="zh-CN" w:bidi="hi-IN"/>
        </w:rPr>
        <w:t xml:space="preserve">Pełna nazwa urządzenia, typ, model (podać): ……………………………………   </w:t>
      </w:r>
    </w:p>
    <w:p w:rsidR="00A53054" w:rsidRDefault="00A53054" w:rsidP="00A53054">
      <w:pPr>
        <w:pStyle w:val="Standard"/>
        <w:widowControl w:val="0"/>
      </w:pPr>
      <w:r>
        <w:rPr>
          <w:rFonts w:cs="Arial"/>
          <w:b/>
          <w:bCs/>
          <w:lang w:eastAsia="zh-CN" w:bidi="hi-IN"/>
        </w:rPr>
        <w:t>Producent (podać): …………………………………………………………………………...</w:t>
      </w:r>
    </w:p>
    <w:p w:rsidR="00A53054" w:rsidRDefault="00A53054" w:rsidP="00A53054">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A53054" w:rsidRDefault="00A53054" w:rsidP="00A53054">
      <w:pPr>
        <w:pStyle w:val="Standard"/>
        <w:widowControl w:val="0"/>
        <w:rPr>
          <w:rFonts w:cs="Arial"/>
          <w:b/>
          <w:bCs/>
          <w:lang w:eastAsia="zh-CN" w:bidi="hi-IN"/>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187"/>
        <w:gridCol w:w="262"/>
        <w:gridCol w:w="2976"/>
      </w:tblGrid>
      <w:tr w:rsidR="00A53054" w:rsidTr="00F57616">
        <w:tc>
          <w:tcPr>
            <w:tcW w:w="699"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53054" w:rsidRDefault="00A53054" w:rsidP="00F57616">
            <w:pPr>
              <w:pStyle w:val="Standard"/>
              <w:widowControl w:val="0"/>
              <w:jc w:val="cente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53054" w:rsidRDefault="00A53054" w:rsidP="00F57616">
            <w:pPr>
              <w:pStyle w:val="Standard"/>
              <w:widowControl w:val="0"/>
              <w:jc w:val="cente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53054" w:rsidRDefault="00A53054" w:rsidP="00F57616">
            <w:pPr>
              <w:pStyle w:val="Standard"/>
              <w:widowControl w:val="0"/>
              <w:jc w:val="center"/>
            </w:pPr>
            <w:r>
              <w:rPr>
                <w:b/>
                <w:bCs/>
              </w:rPr>
              <w:t>Parametry Wymagane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53054" w:rsidRDefault="00A53054" w:rsidP="00F57616">
            <w:pPr>
              <w:pStyle w:val="Standard"/>
              <w:jc w:val="center"/>
            </w:pPr>
            <w:r>
              <w:rPr>
                <w:b/>
                <w:bCs/>
              </w:rPr>
              <w:t>Parametry oferowanego urządzenia</w:t>
            </w:r>
          </w:p>
          <w:p w:rsidR="00A53054" w:rsidRDefault="00A53054" w:rsidP="00F57616">
            <w:pPr>
              <w:pStyle w:val="Standard"/>
              <w:widowControl w:val="0"/>
              <w:jc w:val="center"/>
            </w:pPr>
            <w:r>
              <w:rPr>
                <w:b/>
                <w:bCs/>
              </w:rPr>
              <w:t>PODAĆ/OPISAĆ</w:t>
            </w: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Monitor kompaktowy. Wyposażony w uchwyt do przenoszenia. Masa monitora max. 4 kg.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rPr>
                <w:sz w:val="20"/>
                <w:szCs w:val="20"/>
              </w:rPr>
            </w:pPr>
            <w:r w:rsidRPr="006164E6">
              <w:rPr>
                <w:sz w:val="20"/>
                <w:szCs w:val="20"/>
              </w:rPr>
              <w:t>Kolorowy pojedynczy ekran w postaci płaskiego panelu LCD TFT o przekątnej minimum 12", rozdzielczości co najmniej 1200x800 pikseli i dużym kącie widzenia (powyżej 160</w:t>
            </w:r>
            <w:r w:rsidRPr="006164E6">
              <w:rPr>
                <w:sz w:val="20"/>
                <w:szCs w:val="20"/>
                <w:vertAlign w:val="superscript"/>
              </w:rPr>
              <w:t>o</w:t>
            </w:r>
            <w:r w:rsidRPr="006164E6">
              <w:rPr>
                <w:sz w:val="20"/>
                <w:szCs w:val="20"/>
              </w:rPr>
              <w: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rPr>
                <w:sz w:val="20"/>
                <w:szCs w:val="20"/>
              </w:rPr>
            </w:pPr>
            <w:r w:rsidRPr="006164E6">
              <w:rPr>
                <w:sz w:val="20"/>
                <w:szCs w:val="20"/>
              </w:rPr>
              <w:t>Kardiomonitor wyposażony w ekran o dużym kącie widzenia (powyżej 160</w:t>
            </w:r>
            <w:r w:rsidRPr="006164E6">
              <w:rPr>
                <w:sz w:val="20"/>
                <w:szCs w:val="20"/>
                <w:vertAlign w:val="superscript"/>
              </w:rPr>
              <w:t>o</w:t>
            </w:r>
            <w:r w:rsidRPr="006164E6">
              <w:rPr>
                <w:sz w:val="20"/>
                <w:szCs w:val="20"/>
              </w:rPr>
              <w: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D7F37" w:rsidP="00AD7F37">
            <w:pPr>
              <w:pStyle w:val="Standard"/>
              <w:widowControl w:val="0"/>
              <w:jc w:val="center"/>
              <w:rPr>
                <w:sz w:val="20"/>
                <w:szCs w:val="20"/>
              </w:rPr>
            </w:pPr>
            <w:r>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Opisy i komunikaty ekranowe w języku polskim. Fabrycznie skonfigurowane co najmniej trzy układy ekranu.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Obsługa poprzez ekran dotykowy z funkcją obsługi gestów.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D7F37" w:rsidP="00F57616">
            <w:pPr>
              <w:pStyle w:val="Standard"/>
              <w:widowControl w:val="0"/>
              <w:jc w:val="center"/>
              <w:rPr>
                <w:sz w:val="20"/>
                <w:szCs w:val="20"/>
              </w:rPr>
            </w:pPr>
            <w:r>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Min. 6 krzywych dynamicznych wyświetlanych jednocześnie na ekranie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Zasilanie sieciowe dostosowane do 230V / 50 </w:t>
            </w:r>
            <w:proofErr w:type="spellStart"/>
            <w:r w:rsidRPr="006164E6">
              <w:rPr>
                <w:sz w:val="20"/>
                <w:szCs w:val="20"/>
              </w:rPr>
              <w:t>Hz</w:t>
            </w:r>
            <w:proofErr w:type="spellEnd"/>
            <w:r w:rsidRPr="006164E6">
              <w:rPr>
                <w:sz w:val="20"/>
                <w:szCs w:val="20"/>
              </w:rPr>
              <w:t>. Wewnętrzny akumulator, wymienialny przez użytkownika, pozwalający na minimum 120 minut pracy w konfiguracji EKG, NIBP, SpO2.</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rPr>
                <w:sz w:val="20"/>
                <w:szCs w:val="20"/>
              </w:rPr>
            </w:pPr>
            <w:r w:rsidRPr="006164E6">
              <w:rPr>
                <w:sz w:val="20"/>
                <w:szCs w:val="20"/>
              </w:rPr>
              <w:t>Cicha praca urządzenia – chłodzenie konwekcyjne bez stosowania wentylatorów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Wyposażenie w złącza wejścia/wyjścia: wyjście do podłączenia ekranu kopiującego, co najmniej 2 gniazda USB do podłączenia klawiatury, myszki komputerowej, skanera kodów paskowych, gniazdo RJ-45 do połączenia z siecią monitorowania.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lang w:eastAsia="zh-CN" w:bidi="hi-IN"/>
              </w:rPr>
            </w:pPr>
            <w:r w:rsidRPr="006164E6">
              <w:rPr>
                <w:sz w:val="20"/>
                <w:szCs w:val="20"/>
                <w:lang w:eastAsia="zh-CN" w:bidi="hi-IN"/>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b/>
                <w:sz w:val="20"/>
                <w:szCs w:val="20"/>
              </w:rPr>
              <w:t>EKG</w:t>
            </w:r>
            <w:r w:rsidRPr="006164E6">
              <w:rPr>
                <w:sz w:val="20"/>
                <w:szCs w:val="20"/>
              </w:rPr>
              <w:t xml:space="preserve"> - pomiar częstości akcji serca. </w:t>
            </w:r>
            <w:r w:rsidRPr="006164E6">
              <w:rPr>
                <w:sz w:val="20"/>
                <w:szCs w:val="20"/>
              </w:rPr>
              <w:lastRenderedPageBreak/>
              <w:t>Zakres minimum 20 - 300/min. Ustawianie prędkości przesuwu krzywej EKG do wyboru co najmniej: 6.25; 12.5; 25; 50 mm/s. Ustawianie wzmocnienia krzywej EKG do wyboru co najmniej: x0.125; x0.25; 0.5; x1; x2; x4; auto.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Monitorowanie do 7 </w:t>
            </w:r>
            <w:proofErr w:type="spellStart"/>
            <w:r w:rsidRPr="006164E6">
              <w:rPr>
                <w:sz w:val="20"/>
                <w:szCs w:val="20"/>
              </w:rPr>
              <w:t>odprowadzeń</w:t>
            </w:r>
            <w:proofErr w:type="spellEnd"/>
            <w:r w:rsidRPr="006164E6">
              <w:rPr>
                <w:sz w:val="20"/>
                <w:szCs w:val="20"/>
              </w:rPr>
              <w:t xml:space="preserve"> jednocześnie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W komplecie z monitorem przewód EKG z kompletem 5 końcówek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Analiza arytmii – wykrywanie co najmniej 24 kategorii zaburzeń rytmu w tym VF, ASYS, BRADY, TACHY, AF</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Funkcja eliminacji fałszywych alarmów arytmii poprzez jednoczesną analizę sygnałów EKG i SpO2</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Funkcja analizy zmian częstości akcji serca z ostatnich 24 godzin informacje o wartościach HR, ST, QT i arytmii: statystyka dot. częstości akcji serca, statystyka zdarzeń arytmii, statystyka pomiarów QT/</w:t>
            </w:r>
            <w:proofErr w:type="spellStart"/>
            <w:r w:rsidRPr="006164E6">
              <w:rPr>
                <w:sz w:val="20"/>
                <w:szCs w:val="20"/>
              </w:rPr>
              <w:t>QTc</w:t>
            </w:r>
            <w:proofErr w:type="spellEnd"/>
            <w:r w:rsidRPr="006164E6">
              <w:rPr>
                <w:sz w:val="20"/>
                <w:szCs w:val="20"/>
              </w:rPr>
              <w:t xml:space="preserve">, statystyka maksymalnych i minimalnych wartości odcinka ST dla poszczególnych </w:t>
            </w:r>
            <w:proofErr w:type="spellStart"/>
            <w:r w:rsidRPr="006164E6">
              <w:rPr>
                <w:sz w:val="20"/>
                <w:szCs w:val="20"/>
              </w:rPr>
              <w:t>odprowadzeń</w:t>
            </w:r>
            <w:proofErr w:type="spellEnd"/>
            <w:r w:rsidRPr="006164E6">
              <w:rPr>
                <w:sz w:val="20"/>
                <w:szCs w:val="20"/>
              </w:rPr>
              <w:t>, statystyka dot. danych stymulatora.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Analiza odcinka ST – jednoczesny pomiar odchylenia odcinka ST w siedmiu </w:t>
            </w:r>
            <w:proofErr w:type="spellStart"/>
            <w:r w:rsidRPr="006164E6">
              <w:rPr>
                <w:sz w:val="20"/>
                <w:szCs w:val="20"/>
              </w:rPr>
              <w:t>odprowadzeniach</w:t>
            </w:r>
            <w:proofErr w:type="spellEnd"/>
            <w:r w:rsidRPr="006164E6">
              <w:rPr>
                <w:sz w:val="20"/>
                <w:szCs w:val="20"/>
              </w:rPr>
              <w:t xml:space="preserve"> w zakresie co najmniej od -2,5 do +2,5 </w:t>
            </w:r>
            <w:proofErr w:type="spellStart"/>
            <w:r w:rsidRPr="006164E6">
              <w:rPr>
                <w:sz w:val="20"/>
                <w:szCs w:val="20"/>
              </w:rPr>
              <w:t>mV</w:t>
            </w:r>
            <w:proofErr w:type="spellEnd"/>
            <w:r w:rsidRPr="006164E6">
              <w:rPr>
                <w:sz w:val="20"/>
                <w:szCs w:val="20"/>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Analiza zmian odcinka QT oraz obliczanie wartości </w:t>
            </w:r>
            <w:proofErr w:type="spellStart"/>
            <w:r w:rsidRPr="006164E6">
              <w:rPr>
                <w:sz w:val="20"/>
                <w:szCs w:val="20"/>
              </w:rPr>
              <w:t>QTc</w:t>
            </w:r>
            <w:proofErr w:type="spellEnd"/>
            <w:r w:rsidRPr="006164E6">
              <w:rPr>
                <w:sz w:val="20"/>
                <w:szCs w:val="20"/>
              </w:rPr>
              <w:t xml:space="preserve"> wg. co najmniej 4 wzorów obliczeniowych.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b/>
                <w:sz w:val="20"/>
                <w:szCs w:val="20"/>
              </w:rPr>
              <w:t>RESP</w:t>
            </w:r>
            <w:r w:rsidRPr="006164E6">
              <w:rPr>
                <w:sz w:val="20"/>
                <w:szCs w:val="20"/>
              </w:rPr>
              <w:t xml:space="preserve"> – pomiar częstości oddechu metodą impedancyjną. Zakres pomiarowy częstości oddechu co najmniej od 5 do 200 R/min. Możliwość wyboru odprowadzeni do monitorowania respiracji. Wybór prędkości przesuwu krzywych co najmniej 3; 6.25; 12,5; 25; 50 mm/s.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Saturacja (</w:t>
            </w:r>
            <w:r w:rsidRPr="006164E6">
              <w:rPr>
                <w:b/>
                <w:sz w:val="20"/>
                <w:szCs w:val="20"/>
              </w:rPr>
              <w:t>SpO</w:t>
            </w:r>
            <w:r w:rsidRPr="006164E6">
              <w:rPr>
                <w:b/>
                <w:sz w:val="20"/>
                <w:szCs w:val="20"/>
                <w:vertAlign w:val="subscript"/>
              </w:rPr>
              <w:t>2</w:t>
            </w:r>
            <w:r w:rsidRPr="006164E6">
              <w:rPr>
                <w:sz w:val="20"/>
                <w:szCs w:val="20"/>
              </w:rPr>
              <w:t xml:space="preserve">). Zakres pomiarowy %SpO2 0-100%. Zakres pomiarowy częstości pulsu co najmniej 20-300 P/min. Jednoczesne wyświetlanie krzywej </w:t>
            </w:r>
            <w:proofErr w:type="spellStart"/>
            <w:r w:rsidRPr="006164E6">
              <w:rPr>
                <w:sz w:val="20"/>
                <w:szCs w:val="20"/>
              </w:rPr>
              <w:t>pletzymograficznej</w:t>
            </w:r>
            <w:proofErr w:type="spellEnd"/>
            <w:r w:rsidRPr="006164E6">
              <w:rPr>
                <w:sz w:val="20"/>
                <w:szCs w:val="20"/>
              </w:rPr>
              <w:t xml:space="preserve"> oraz wartości % saturacji, częstości pulsu i wskaźnika perfuzji. Wyświetlanie statystyk pomiaru SpO2 w postaci wykresów słupkowych. Alarm </w:t>
            </w:r>
            <w:proofErr w:type="spellStart"/>
            <w:r w:rsidRPr="006164E6">
              <w:rPr>
                <w:sz w:val="20"/>
                <w:szCs w:val="20"/>
              </w:rPr>
              <w:t>desaturacji</w:t>
            </w:r>
            <w:proofErr w:type="spellEnd"/>
            <w:r w:rsidRPr="006164E6">
              <w:rPr>
                <w:sz w:val="20"/>
                <w:szCs w:val="20"/>
              </w:rPr>
              <w:t xml:space="preserve">. W komplecie z </w:t>
            </w:r>
            <w:r w:rsidRPr="006164E6">
              <w:rPr>
                <w:sz w:val="20"/>
                <w:szCs w:val="20"/>
              </w:rPr>
              <w:lastRenderedPageBreak/>
              <w:t>monitorem  przewód interfejsowy oraz czujnik SpO2 na palec.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Nieinwazyjny pomiar ciśnienia (</w:t>
            </w:r>
            <w:r w:rsidRPr="006164E6">
              <w:rPr>
                <w:b/>
                <w:sz w:val="20"/>
                <w:szCs w:val="20"/>
              </w:rPr>
              <w:t>NIPC</w:t>
            </w:r>
            <w:r w:rsidRPr="006164E6">
              <w:rPr>
                <w:sz w:val="20"/>
                <w:szCs w:val="20"/>
              </w:rPr>
              <w:t xml:space="preserve">) metoda oscylometryczna. Pomiar ręczny, automatyczny i ciągły (powtarzające się pomiary w czasie co najmniej 4 min). Zakres pomiaru ciśnienia skurczowego co najmniej od 30 do 290 mmHg.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6164E6">
              <w:rPr>
                <w:sz w:val="20"/>
                <w:szCs w:val="20"/>
              </w:rPr>
              <w:t>stazy</w:t>
            </w:r>
            <w:proofErr w:type="spellEnd"/>
            <w:r w:rsidRPr="006164E6">
              <w:rPr>
                <w:sz w:val="20"/>
                <w:szCs w:val="20"/>
              </w:rPr>
              <w:t>. Funkcja wstępnego ustawiania ciśnienia pompowania mankietu. Pomiar częstości pulsu wraz z nieinwazyjnym ciśnieniem co najmniej w zakresie od 30 do 300 P/min.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W komplecie z monitorem przewód i dwa mankiety dla dorosłych w dwóch rozmiarach.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rPr>
                <w:sz w:val="20"/>
                <w:szCs w:val="20"/>
              </w:rPr>
            </w:pPr>
            <w:r w:rsidRPr="006164E6">
              <w:rPr>
                <w:sz w:val="20"/>
                <w:szCs w:val="20"/>
              </w:rPr>
              <w:t xml:space="preserve">W komplecie z monitorem powierzchniowy czujnik temperatury dla dorosłych.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Ustawianie granic alarmowych przez użytkownika oraz funkcja automatycznego ustawiania granic alarmowych na podstawie bieżących wartości parametrów. Ustawianie głośności alarmowania (co najmniej 10 poziomów do wyboru). Ustawianie wzorców sygnalizacji alarmowej (co najmniej 3 wzorce do wyboru).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Przynajmniej  60-godzinne trendy wszystkich mierzonych parametrów, w postaci tabel i wykresów  z rozdzielczością od 1 minuty.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b/>
                <w:bCs/>
                <w:sz w:val="20"/>
                <w:szCs w:val="20"/>
              </w:rPr>
            </w:pPr>
            <w:r w:rsidRPr="006164E6">
              <w:rPr>
                <w:b/>
                <w:bCs/>
                <w:sz w:val="20"/>
                <w:szCs w:val="20"/>
              </w:rPr>
              <w:t>26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Zapamiętywanie krzywych dynamicznych w czasie rzeczywistym – pamięć co najmniej 24 godzin.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Zapamiętywanie co najmniej 500 zdarzeń alarmowych.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Monitor wyposażony w funkcję wprowadzania danych i obliczania punktacji wczesnego ostrzegania EWS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D7F37" w:rsidP="00F57616">
            <w:pPr>
              <w:pStyle w:val="Standard"/>
              <w:widowControl w:val="0"/>
              <w:jc w:val="center"/>
              <w:rPr>
                <w:sz w:val="20"/>
                <w:szCs w:val="20"/>
              </w:rPr>
            </w:pPr>
            <w:r>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Monitor wyposażony w funkcję oceny stanu świadomości wg. skali Glasgow (GCS) – wprowadzanie danych, wyświetlanie punktacji łącznej i podrzędnej oraz ustawianie odstępu </w:t>
            </w:r>
            <w:r w:rsidRPr="006164E6">
              <w:rPr>
                <w:sz w:val="20"/>
                <w:szCs w:val="20"/>
              </w:rPr>
              <w:lastRenderedPageBreak/>
              <w:t>czasowego w jakim mają być wprowadzane dane.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D7F37" w:rsidP="00F57616">
            <w:pPr>
              <w:pStyle w:val="Standard"/>
              <w:widowControl w:val="0"/>
              <w:jc w:val="center"/>
              <w:rPr>
                <w:sz w:val="20"/>
                <w:szCs w:val="20"/>
              </w:rPr>
            </w:pPr>
            <w:r>
              <w:rPr>
                <w:sz w:val="20"/>
                <w:szCs w:val="20"/>
              </w:rPr>
              <w:t>TAK</w:t>
            </w:r>
            <w:bookmarkStart w:id="0" w:name="_GoBack"/>
            <w:bookmarkEnd w:id="0"/>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Monitor przystosowany do pracy w sieci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Możliwość współpracy ze stacją centralnego nadzoru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color w:val="000000"/>
                <w:sz w:val="20"/>
                <w:szCs w:val="20"/>
              </w:rPr>
              <w:t>Funkcja „</w:t>
            </w:r>
            <w:proofErr w:type="spellStart"/>
            <w:r w:rsidRPr="006164E6">
              <w:rPr>
                <w:color w:val="000000"/>
                <w:sz w:val="20"/>
                <w:szCs w:val="20"/>
              </w:rPr>
              <w:t>standby</w:t>
            </w:r>
            <w:proofErr w:type="spellEnd"/>
            <w:r w:rsidRPr="006164E6">
              <w:rPr>
                <w:color w:val="000000"/>
                <w:sz w:val="20"/>
                <w:szCs w:val="20"/>
              </w:rPr>
              <w:t>”, pozwalająca na wstrzymanie monitorowania pacjenta, związane np. z czasowym odłączeniem go od monitora, bez konieczności wyłączania monitora, oraz na szybkie, ponowne uruchomienie monitorowania.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color w:val="000000"/>
                <w:sz w:val="20"/>
                <w:szCs w:val="20"/>
              </w:rPr>
              <w:t>Funkcja „tryb prywatny” pozwalająca - w przypadku podłączenia urządzenia do centrali - na ukrycie danych przed pacjentem i wyświetlanie ich tylko na stanowisku centralnym.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Statyw na kółkach z półką do mocowania monitora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97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Default="00A53054" w:rsidP="00F57616">
            <w:pPr>
              <w:pStyle w:val="Standard"/>
              <w:widowControl w:val="0"/>
            </w:pPr>
            <w:r>
              <w:rPr>
                <w:rFonts w:cs="Arial"/>
                <w:b/>
                <w:bCs/>
                <w:lang w:eastAsia="zh-CN" w:bidi="hi-IN"/>
              </w:rPr>
              <w:t xml:space="preserve">Pełna nazwa urządzenia, typ, model (podać): ……………………………………   </w:t>
            </w:r>
          </w:p>
          <w:p w:rsidR="00A53054" w:rsidRDefault="00A53054" w:rsidP="00F57616">
            <w:pPr>
              <w:pStyle w:val="Standard"/>
              <w:widowControl w:val="0"/>
            </w:pPr>
            <w:r>
              <w:rPr>
                <w:rFonts w:cs="Arial"/>
                <w:b/>
                <w:bCs/>
                <w:lang w:eastAsia="zh-CN" w:bidi="hi-IN"/>
              </w:rPr>
              <w:t>Producent (podać): …………………………………………………………………………...</w:t>
            </w:r>
          </w:p>
          <w:p w:rsidR="00A53054" w:rsidRDefault="00A53054" w:rsidP="00F57616">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b/>
                <w:bCs/>
                <w:sz w:val="20"/>
                <w:szCs w:val="20"/>
                <w:lang w:eastAsia="zh-CN" w:bidi="hi-IN"/>
              </w:rPr>
            </w:pP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b/>
                <w:bCs/>
                <w:sz w:val="20"/>
                <w:szCs w:val="20"/>
                <w:lang w:eastAsia="zh-CN" w:bidi="hi-IN"/>
              </w:rPr>
            </w:pPr>
            <w:r w:rsidRPr="006164E6">
              <w:rPr>
                <w:b/>
                <w:bCs/>
                <w:sz w:val="20"/>
                <w:szCs w:val="20"/>
                <w:lang w:eastAsia="zh-CN" w:bidi="hi-IN"/>
              </w:rPr>
              <w:t xml:space="preserve">Stanowisko centralnego nadzoru – 1 sztuka </w:t>
            </w: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Stacja centralnego monitorowania umożliwiająca podłączenie min 20 stanowisk monitorowania bez konieczności rozbudowywania oprogramowania o dodatkowe opcje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Jednoczesny podgląd parametrów ze wszystkich podłączonych do centrali monitorów pacjenta z funkcją indywidualnej konfiguracji pól poszczególnych monitorów (ilość i układ krzywych oraz wartości parametrów)</w:t>
            </w:r>
          </w:p>
          <w:p w:rsidR="00A53054" w:rsidRPr="006164E6" w:rsidRDefault="00A53054" w:rsidP="00F57616">
            <w:pPr>
              <w:pStyle w:val="Standard"/>
              <w:widowControl w:val="0"/>
              <w:rPr>
                <w:sz w:val="20"/>
                <w:szCs w:val="20"/>
              </w:rPr>
            </w:pP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Możliwość pełnego podglądu wybranego monitor pacjenta (wszystkie krzywe i wartości parametrów)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Zestaw akcesoriów sieciowych do podłączenia 31 opisanych powyżej monitorów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Centrala zainstalowana na komputerze z ekranem o przekątnej co najmniej 23”, połączonym z dodatkowym ekranem o przekątnej co najmniej 23”</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Alarmy 3-stopniowe (wizualne i akustyczne) z poszczególnych łóżek, z identyfikacją alarmującego łóżka. Wyciszanie alarmów i uruchamianie pomiaru ciśnienia nieinwazyjnego z poziomu centrali.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Wyświetlanie alarmów technicznych w </w:t>
            </w:r>
            <w:r w:rsidRPr="006164E6">
              <w:rPr>
                <w:sz w:val="20"/>
                <w:szCs w:val="20"/>
              </w:rPr>
              <w:lastRenderedPageBreak/>
              <w:t>formie graficznej, ułatwiające szybką identyfikację problemu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lastRenderedPageBreak/>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Wyświetlanie na ekranie centrali analizy załamka ST w formie graficznej, pokazujący w czasie rzeczywistym odchylenie wartości ST od linii odniesienia.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Wpisywanie danych demograficznych pacjenta w centrali i w monitorach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Pamięć stanów krytycznych (alarmów i arytmii i innych zdarzeń, z zapisem odcinków krzywych dynamicznych i wartości liczbowych) - minimalna liczba zdarzeń: 3000/pacjenta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lang w:eastAsia="ar-SA"/>
              </w:rPr>
              <w:t>Pamięć ciągłego zapisu monitorowanych przebiegów falowych (</w:t>
            </w:r>
            <w:proofErr w:type="spellStart"/>
            <w:r w:rsidRPr="006164E6">
              <w:rPr>
                <w:sz w:val="20"/>
                <w:szCs w:val="20"/>
                <w:lang w:eastAsia="ar-SA"/>
              </w:rPr>
              <w:t>EKG+inne</w:t>
            </w:r>
            <w:proofErr w:type="spellEnd"/>
            <w:r w:rsidRPr="006164E6">
              <w:rPr>
                <w:sz w:val="20"/>
                <w:szCs w:val="20"/>
                <w:lang w:eastAsia="ar-SA"/>
              </w:rPr>
              <w:t xml:space="preserve">) - z ostatnich min. 240 godzin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lang w:eastAsia="ar-SA"/>
              </w:rPr>
              <w:t>Trendy tabelaryczne: pamięć z ostatnich min. 200 godzin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lang w:eastAsia="ar-SA"/>
              </w:rPr>
              <w:t>Możliwość wyświetlenia na ekranie centrali danych z zewnętrznych urządzeń peryferyjnych (np. respiratory) podłączonych do monitora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p w:rsidR="00A53054" w:rsidRPr="006164E6" w:rsidRDefault="00A53054" w:rsidP="00F57616">
            <w:pPr>
              <w:rPr>
                <w:rFonts w:ascii="Times New Roman" w:hAnsi="Times New Roman" w:cs="Times New Roman"/>
                <w:sz w:val="20"/>
                <w:szCs w:val="20"/>
              </w:rPr>
            </w:pPr>
          </w:p>
          <w:p w:rsidR="00A53054" w:rsidRPr="006164E6" w:rsidRDefault="00A53054" w:rsidP="00F57616">
            <w:pPr>
              <w:ind w:firstLine="708"/>
              <w:rPr>
                <w:sz w:val="20"/>
                <w:szCs w:val="20"/>
              </w:rPr>
            </w:pP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lang w:eastAsia="ar-SA"/>
              </w:rPr>
              <w:t>Możliwość podglądu wybranego monitora pacjenta na dowolnym komputerze PC z oprogramowaniem Windows podłączonym do wspólnej sieci ze stacją centralnego monitorowania. Podgląd za pomocą dedykowanego oprogramowania producenta oprogramowania centrali.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Drukarka laserowa do wydruków trendów i raportów na standardowym papierze A4; wbudowane łącze do sieci Ethernet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Podtrzymanie zasilania elektrycznego każdego stanowiska monitorowania centralnego (UPS) min. 20 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 xml:space="preserve">Funkcja ustawiania trybu prywatnego z poziomu centrali indywidualnie w poszczególnych monitorów pacjenta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color w:val="000000"/>
                <w:sz w:val="20"/>
                <w:szCs w:val="20"/>
              </w:rPr>
              <w:t>Funkcja ustawiania trybu nocnego z poziomu centrali indywidualnie w poszczególnych monitorów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color w:val="000000"/>
                <w:sz w:val="20"/>
                <w:szCs w:val="20"/>
              </w:rPr>
            </w:pPr>
          </w:p>
          <w:p w:rsidR="00A53054" w:rsidRPr="006164E6" w:rsidRDefault="00A53054" w:rsidP="00F57616">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color w:val="000000"/>
                <w:sz w:val="20"/>
                <w:szCs w:val="20"/>
              </w:rPr>
              <w:t>Funkcja ustawiania trybu nocnego z poziomu centrali we wszystkich monitorach pacjenta jednocześnie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color w:val="000000"/>
                <w:sz w:val="20"/>
                <w:szCs w:val="20"/>
              </w:rPr>
              <w:t>Możliwość przyszłej integracji ze szpitalnymi systemami informatycznymi klasy HIS co najmniej w zakresie importowania danych ADT (przyjęcia i wypisy pacjentów)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color w:val="000000"/>
                <w:sz w:val="20"/>
                <w:szCs w:val="20"/>
              </w:rPr>
            </w:pPr>
          </w:p>
          <w:p w:rsidR="00A53054" w:rsidRPr="006164E6" w:rsidRDefault="00A53054" w:rsidP="00F57616">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rPr>
                <w:sz w:val="20"/>
                <w:szCs w:val="20"/>
              </w:rPr>
            </w:pPr>
            <w:r w:rsidRPr="006164E6">
              <w:rPr>
                <w:sz w:val="20"/>
                <w:szCs w:val="20"/>
              </w:rPr>
              <w:t>Możliwość rozbudowy centrali o funkcję podglądu parametrów monitorowanych pacjentów na telefonach komórkowych oraz tabletach wyposażonych w system operacyjny Android lub iOS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p>
          <w:p w:rsidR="00A53054" w:rsidRPr="006164E6" w:rsidRDefault="00A53054" w:rsidP="00F57616">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rPr>
          <w:trHeight w:val="425"/>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b/>
                <w:bCs/>
                <w:color w:val="000000"/>
                <w:sz w:val="20"/>
                <w:szCs w:val="20"/>
              </w:rPr>
              <w:t>Ogólne warunki dostawy oferowanego sprzętu medycznego</w:t>
            </w: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lastRenderedPageBreak/>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Dostępność części zamiennych przez minimum 10 lat.</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rPr>
                <w:sz w:val="20"/>
                <w:szCs w:val="20"/>
              </w:rPr>
            </w:pPr>
            <w:r w:rsidRPr="006164E6">
              <w:rPr>
                <w:b/>
                <w:bCs/>
                <w:sz w:val="20"/>
                <w:szCs w:val="20"/>
              </w:rPr>
              <w:t>24 miesiące – 0 pkt</w:t>
            </w:r>
          </w:p>
          <w:p w:rsidR="00A53054" w:rsidRPr="006164E6" w:rsidRDefault="00A53054" w:rsidP="00F57616">
            <w:pPr>
              <w:pStyle w:val="Standard"/>
              <w:rPr>
                <w:sz w:val="20"/>
                <w:szCs w:val="20"/>
              </w:rPr>
            </w:pPr>
            <w:r w:rsidRPr="006164E6">
              <w:rPr>
                <w:b/>
                <w:bCs/>
                <w:sz w:val="20"/>
                <w:szCs w:val="20"/>
              </w:rPr>
              <w:t>36 miesięcy – 25 pkt</w:t>
            </w:r>
          </w:p>
          <w:p w:rsidR="00A53054" w:rsidRPr="006164E6" w:rsidRDefault="00A53054" w:rsidP="00F57616">
            <w:pPr>
              <w:pStyle w:val="Standard"/>
              <w:rPr>
                <w:sz w:val="20"/>
                <w:szCs w:val="20"/>
              </w:rPr>
            </w:pPr>
            <w:r w:rsidRPr="006164E6">
              <w:rPr>
                <w:b/>
                <w:bCs/>
                <w:sz w:val="20"/>
                <w:szCs w:val="20"/>
              </w:rPr>
              <w:t>48 miesięcy – 50 pkt</w:t>
            </w:r>
          </w:p>
          <w:p w:rsidR="00A53054" w:rsidRPr="006164E6" w:rsidRDefault="00A53054" w:rsidP="00F57616">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A53054" w:rsidRPr="006164E6" w:rsidRDefault="00A53054" w:rsidP="00F57616">
            <w:pPr>
              <w:pStyle w:val="Standard"/>
              <w:widowControl w:val="0"/>
              <w:rPr>
                <w:sz w:val="20"/>
                <w:szCs w:val="20"/>
              </w:rPr>
            </w:pPr>
            <w:r w:rsidRPr="006164E6">
              <w:rPr>
                <w:sz w:val="20"/>
                <w:szCs w:val="20"/>
                <w:lang w:eastAsia="zh-CN" w:bidi="hi-IN"/>
              </w:rPr>
              <w:t>……………………………..</w:t>
            </w:r>
          </w:p>
          <w:p w:rsidR="00A53054" w:rsidRPr="006164E6" w:rsidRDefault="00A53054" w:rsidP="00F57616">
            <w:pPr>
              <w:pStyle w:val="Standard"/>
              <w:widowControl w:val="0"/>
              <w:rPr>
                <w:b/>
                <w:bCs/>
                <w:sz w:val="20"/>
                <w:szCs w:val="20"/>
                <w:lang w:eastAsia="zh-CN" w:bidi="hi-IN"/>
              </w:rPr>
            </w:pPr>
          </w:p>
          <w:p w:rsidR="00A53054" w:rsidRPr="006164E6" w:rsidRDefault="00A53054" w:rsidP="00F57616">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A53054" w:rsidRPr="006164E6" w:rsidRDefault="00A53054" w:rsidP="00F57616">
            <w:pPr>
              <w:pStyle w:val="Standard"/>
              <w:widowControl w:val="0"/>
              <w:rPr>
                <w:sz w:val="20"/>
                <w:szCs w:val="20"/>
              </w:rPr>
            </w:pPr>
            <w:r w:rsidRPr="006164E6">
              <w:rPr>
                <w:sz w:val="20"/>
                <w:szCs w:val="20"/>
                <w:lang w:eastAsia="zh-CN" w:bidi="hi-IN"/>
              </w:rPr>
              <w:t>……………………………..</w:t>
            </w: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rPr>
                <w:sz w:val="20"/>
                <w:szCs w:val="20"/>
              </w:rPr>
            </w:pPr>
            <w:r w:rsidRPr="006164E6">
              <w:rPr>
                <w:b/>
                <w:bCs/>
                <w:sz w:val="20"/>
                <w:szCs w:val="20"/>
              </w:rPr>
              <w:t>2 godziny  – 0 pkt</w:t>
            </w:r>
          </w:p>
          <w:p w:rsidR="00A53054" w:rsidRPr="006164E6" w:rsidRDefault="00A53054" w:rsidP="00F57616">
            <w:pPr>
              <w:pStyle w:val="Standard"/>
              <w:rPr>
                <w:sz w:val="20"/>
                <w:szCs w:val="20"/>
              </w:rPr>
            </w:pPr>
            <w:r w:rsidRPr="006164E6">
              <w:rPr>
                <w:b/>
                <w:bCs/>
                <w:sz w:val="20"/>
                <w:szCs w:val="20"/>
              </w:rPr>
              <w:t>3 godzin– 5 pkt</w:t>
            </w:r>
          </w:p>
          <w:p w:rsidR="00A53054" w:rsidRPr="006164E6" w:rsidRDefault="00A53054" w:rsidP="00F57616">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Wykonawca jest zobowiązany do  pierwszego uruchomienia sprzętu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Czas naprawy w siedzibie Zamawiającego od 1 do 3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rPr>
                <w:sz w:val="20"/>
                <w:szCs w:val="20"/>
              </w:rPr>
            </w:pPr>
            <w:r w:rsidRPr="006164E6">
              <w:rPr>
                <w:b/>
                <w:bCs/>
                <w:sz w:val="20"/>
                <w:szCs w:val="20"/>
              </w:rPr>
              <w:t>1- dzień roboczy – 20 pkt</w:t>
            </w:r>
          </w:p>
          <w:p w:rsidR="00A53054" w:rsidRPr="006164E6" w:rsidRDefault="00A53054" w:rsidP="00F57616">
            <w:pPr>
              <w:pStyle w:val="Standard"/>
              <w:rPr>
                <w:sz w:val="20"/>
                <w:szCs w:val="20"/>
              </w:rPr>
            </w:pPr>
            <w:r w:rsidRPr="006164E6">
              <w:rPr>
                <w:b/>
                <w:bCs/>
                <w:sz w:val="20"/>
                <w:szCs w:val="20"/>
              </w:rPr>
              <w:t>2 dni robocze – 10 pkt</w:t>
            </w:r>
          </w:p>
          <w:p w:rsidR="00A53054" w:rsidRPr="006164E6" w:rsidRDefault="00A53054" w:rsidP="00F57616">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rPr>
                <w:sz w:val="20"/>
                <w:szCs w:val="20"/>
              </w:rPr>
            </w:pPr>
            <w:r w:rsidRPr="006164E6">
              <w:rPr>
                <w:b/>
                <w:bCs/>
                <w:sz w:val="20"/>
                <w:szCs w:val="20"/>
                <w:lang w:eastAsia="hi-IN"/>
              </w:rPr>
              <w:t>48 godz. – 0 pkt</w:t>
            </w:r>
          </w:p>
          <w:p w:rsidR="00A53054" w:rsidRPr="006164E6" w:rsidRDefault="00A53054" w:rsidP="00F57616">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r w:rsidR="00A53054" w:rsidRPr="006164E6" w:rsidTr="00F57616">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sz w:val="20"/>
                <w:szCs w:val="20"/>
              </w:rPr>
              <w:t>Okres ważności przeglądów technicznych</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A53054" w:rsidRPr="006164E6" w:rsidRDefault="00A53054" w:rsidP="00F57616">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53054" w:rsidRPr="006164E6" w:rsidRDefault="00A53054" w:rsidP="00F57616">
            <w:pPr>
              <w:pStyle w:val="Standard"/>
              <w:widowControl w:val="0"/>
              <w:rPr>
                <w:b/>
                <w:bCs/>
                <w:sz w:val="20"/>
                <w:szCs w:val="20"/>
                <w:lang w:eastAsia="zh-CN" w:bidi="hi-IN"/>
              </w:rPr>
            </w:pPr>
          </w:p>
        </w:tc>
      </w:tr>
    </w:tbl>
    <w:p w:rsidR="00A53054" w:rsidRPr="006164E6" w:rsidRDefault="00A53054" w:rsidP="00A53054">
      <w:pPr>
        <w:rPr>
          <w:sz w:val="20"/>
          <w:szCs w:val="20"/>
        </w:rPr>
      </w:pPr>
    </w:p>
    <w:p w:rsidR="00A53054" w:rsidRDefault="00A53054" w:rsidP="00A53054">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A53054" w:rsidRDefault="00A53054" w:rsidP="00A53054">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A53054" w:rsidRDefault="00A53054" w:rsidP="00A53054">
      <w:pPr>
        <w:pStyle w:val="Standard"/>
      </w:pPr>
    </w:p>
    <w:p w:rsidR="00A53054" w:rsidRDefault="00A53054" w:rsidP="00A53054">
      <w:pPr>
        <w:pStyle w:val="Standard"/>
      </w:pPr>
    </w:p>
    <w:p w:rsidR="00A53054" w:rsidRDefault="00A53054" w:rsidP="00A53054">
      <w:pPr>
        <w:pStyle w:val="Standard"/>
      </w:pPr>
    </w:p>
    <w:p w:rsidR="00A53054" w:rsidRDefault="00A53054" w:rsidP="00A53054">
      <w:pPr>
        <w:pStyle w:val="Standard"/>
      </w:pPr>
    </w:p>
    <w:p w:rsidR="00A53054" w:rsidRDefault="00A53054" w:rsidP="00A53054">
      <w:pPr>
        <w:pStyle w:val="Standard"/>
      </w:pPr>
    </w:p>
    <w:p w:rsidR="00A53054" w:rsidRDefault="00A53054" w:rsidP="00A53054">
      <w:pPr>
        <w:pStyle w:val="Standard"/>
      </w:pPr>
    </w:p>
    <w:p w:rsidR="00914156" w:rsidRDefault="00914156"/>
    <w:sectPr w:rsidR="009141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F3" w:rsidRDefault="006B6EF3" w:rsidP="00A53054">
      <w:r>
        <w:separator/>
      </w:r>
    </w:p>
  </w:endnote>
  <w:endnote w:type="continuationSeparator" w:id="0">
    <w:p w:rsidR="006B6EF3" w:rsidRDefault="006B6EF3" w:rsidP="00A5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F3" w:rsidRDefault="006B6EF3" w:rsidP="00A53054">
      <w:r>
        <w:separator/>
      </w:r>
    </w:p>
  </w:footnote>
  <w:footnote w:type="continuationSeparator" w:id="0">
    <w:p w:rsidR="006B6EF3" w:rsidRDefault="006B6EF3" w:rsidP="00A5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54" w:rsidRDefault="00A53054">
    <w:pPr>
      <w:pStyle w:val="Nagwek"/>
    </w:pPr>
    <w:r w:rsidRPr="00B41F9F">
      <w:rPr>
        <w:noProof/>
      </w:rPr>
      <w:drawing>
        <wp:inline distT="0" distB="0" distL="0" distR="0" wp14:anchorId="78C66FDC" wp14:editId="6FBE54B6">
          <wp:extent cx="1800665" cy="631191"/>
          <wp:effectExtent l="0" t="0" r="9525" b="0"/>
          <wp:docPr id="1"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54"/>
    <w:rsid w:val="006B6EF3"/>
    <w:rsid w:val="00914156"/>
    <w:rsid w:val="00A53054"/>
    <w:rsid w:val="00AD7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FB2B-99AA-48D2-8010-390609CB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3054"/>
    <w:pPr>
      <w:widowControl w:val="0"/>
      <w:suppressAutoHyphens/>
      <w:autoSpaceDN w:val="0"/>
      <w:spacing w:after="0" w:line="240" w:lineRule="auto"/>
      <w:textAlignment w:val="baseline"/>
    </w:pPr>
    <w:rPr>
      <w:rFonts w:ascii="Calibri" w:eastAsia="Calibri" w:hAnsi="Calibri" w:cs="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3054"/>
    <w:pPr>
      <w:suppressAutoHyphens/>
      <w:autoSpaceDN w:val="0"/>
      <w:spacing w:after="0" w:line="240" w:lineRule="auto"/>
      <w:textAlignment w:val="baseline"/>
    </w:pPr>
    <w:rPr>
      <w:rFonts w:ascii="Times New Roman" w:eastAsia="F" w:hAnsi="Times New Roman" w:cs="Times New Roman"/>
      <w:sz w:val="24"/>
      <w:szCs w:val="24"/>
      <w:lang w:eastAsia="pl-PL"/>
    </w:rPr>
  </w:style>
  <w:style w:type="paragraph" w:styleId="Nagwek">
    <w:name w:val="header"/>
    <w:basedOn w:val="Normalny"/>
    <w:link w:val="NagwekZnak"/>
    <w:uiPriority w:val="99"/>
    <w:unhideWhenUsed/>
    <w:rsid w:val="00A53054"/>
    <w:pPr>
      <w:tabs>
        <w:tab w:val="center" w:pos="4536"/>
        <w:tab w:val="right" w:pos="9072"/>
      </w:tabs>
    </w:pPr>
  </w:style>
  <w:style w:type="character" w:customStyle="1" w:styleId="NagwekZnak">
    <w:name w:val="Nagłówek Znak"/>
    <w:basedOn w:val="Domylnaczcionkaakapitu"/>
    <w:link w:val="Nagwek"/>
    <w:uiPriority w:val="99"/>
    <w:rsid w:val="00A53054"/>
    <w:rPr>
      <w:rFonts w:ascii="Calibri" w:eastAsia="Calibri" w:hAnsi="Calibri" w:cs="F"/>
    </w:rPr>
  </w:style>
  <w:style w:type="paragraph" w:styleId="Stopka">
    <w:name w:val="footer"/>
    <w:basedOn w:val="Normalny"/>
    <w:link w:val="StopkaZnak"/>
    <w:uiPriority w:val="99"/>
    <w:unhideWhenUsed/>
    <w:rsid w:val="00A53054"/>
    <w:pPr>
      <w:tabs>
        <w:tab w:val="center" w:pos="4536"/>
        <w:tab w:val="right" w:pos="9072"/>
      </w:tabs>
    </w:pPr>
  </w:style>
  <w:style w:type="character" w:customStyle="1" w:styleId="StopkaZnak">
    <w:name w:val="Stopka Znak"/>
    <w:basedOn w:val="Domylnaczcionkaakapitu"/>
    <w:link w:val="Stopka"/>
    <w:uiPriority w:val="99"/>
    <w:rsid w:val="00A53054"/>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1675</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2</cp:revision>
  <dcterms:created xsi:type="dcterms:W3CDTF">2022-11-23T08:43:00Z</dcterms:created>
  <dcterms:modified xsi:type="dcterms:W3CDTF">2022-11-23T08:45:00Z</dcterms:modified>
</cp:coreProperties>
</file>